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E133" w14:textId="77777777" w:rsidR="00930256" w:rsidRPr="00E8636C" w:rsidRDefault="00930256" w:rsidP="00930256">
      <w:pPr>
        <w:pStyle w:val="Corpotesto"/>
        <w:kinsoku w:val="0"/>
        <w:overflowPunct w:val="0"/>
        <w:spacing w:before="1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E1BDB91" w14:textId="50AC113C" w:rsidR="00930256" w:rsidRPr="00E8636C" w:rsidRDefault="00930256" w:rsidP="00E8636C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 Oggetto: </w:t>
      </w:r>
      <w:r w:rsidRPr="00C43D7A">
        <w:rPr>
          <w:rFonts w:ascii="Times New Roman" w:hAnsi="Times New Roman" w:cs="Times New Roman"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l’appalto denominato </w:t>
      </w:r>
      <w:r w:rsidR="00C43D7A" w:rsidRPr="00C43D7A">
        <w:rPr>
          <w:rFonts w:ascii="Times New Roman" w:hAnsi="Times New Roman" w:cs="Times New Roman"/>
          <w:color w:val="000000"/>
          <w:sz w:val="22"/>
          <w:szCs w:val="22"/>
        </w:rPr>
        <w:t>"Risanamento idrogeologico e messa in sicurezza del costone in frana sito in lo-</w:t>
      </w:r>
      <w:proofErr w:type="spellStart"/>
      <w:r w:rsidR="00C43D7A" w:rsidRPr="00C43D7A">
        <w:rPr>
          <w:rFonts w:ascii="Times New Roman" w:hAnsi="Times New Roman" w:cs="Times New Roman"/>
          <w:color w:val="000000"/>
          <w:sz w:val="22"/>
          <w:szCs w:val="22"/>
        </w:rPr>
        <w:t>calità</w:t>
      </w:r>
      <w:proofErr w:type="spellEnd"/>
      <w:r w:rsidR="00C43D7A" w:rsidRPr="00C43D7A">
        <w:rPr>
          <w:rFonts w:ascii="Times New Roman" w:hAnsi="Times New Roman" w:cs="Times New Roman"/>
          <w:color w:val="000000"/>
          <w:sz w:val="22"/>
          <w:szCs w:val="22"/>
        </w:rPr>
        <w:t xml:space="preserve"> Torrepalazzo lungo la S.S. 87 al Km 82+350</w:t>
      </w:r>
      <w:proofErr w:type="gramStart"/>
      <w:r w:rsidR="00C43D7A" w:rsidRPr="00C43D7A">
        <w:rPr>
          <w:rFonts w:ascii="Times New Roman" w:hAnsi="Times New Roman" w:cs="Times New Roman"/>
          <w:color w:val="000000"/>
          <w:sz w:val="22"/>
          <w:szCs w:val="22"/>
        </w:rPr>
        <w:t xml:space="preserve">" </w:t>
      </w:r>
      <w:r w:rsidR="00C43D7A">
        <w:rPr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="00C43D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3D7A" w:rsidRPr="00C43D7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CUP </w:t>
      </w:r>
      <w:r w:rsidR="00C43D7A" w:rsidRPr="00586FDA">
        <w:rPr>
          <w:rFonts w:ascii="Times New Roman" w:hAnsi="Times New Roman" w:cs="Times New Roman"/>
          <w:i/>
          <w:iCs/>
          <w:color w:val="000000"/>
          <w:sz w:val="22"/>
          <w:szCs w:val="22"/>
        </w:rPr>
        <w:t>D47B15000340009</w:t>
      </w:r>
      <w:r w:rsidRPr="00586FD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 CIG: </w:t>
      </w:r>
      <w:r w:rsidR="00586FDA" w:rsidRPr="00586FDA">
        <w:rPr>
          <w:rFonts w:ascii="Times New Roman" w:hAnsi="Times New Roman" w:cs="Times New Roman"/>
          <w:i/>
          <w:iCs/>
          <w:color w:val="000000"/>
          <w:sz w:val="22"/>
          <w:szCs w:val="22"/>
        </w:rPr>
        <w:t>B9CEB01AE3</w:t>
      </w:r>
      <w:r w:rsidRPr="00E8636C">
        <w:rPr>
          <w:rFonts w:ascii="Times New Roman" w:hAnsi="Times New Roman" w:cs="Times New Roman"/>
          <w:i/>
          <w:iCs/>
          <w:color w:val="000000"/>
          <w:sz w:val="22"/>
          <w:szCs w:val="22"/>
        </w:rPr>
        <w:t>”</w:t>
      </w: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, indetta dalla CUC </w:t>
      </w:r>
      <w:r w:rsidR="00E8636C" w:rsidRPr="00E8636C">
        <w:rPr>
          <w:rFonts w:ascii="Times New Roman" w:hAnsi="Times New Roman" w:cs="Times New Roman"/>
          <w:i/>
          <w:iCs/>
          <w:color w:val="000000"/>
          <w:sz w:val="22"/>
          <w:szCs w:val="22"/>
        </w:rPr>
        <w:t>La Dormiente del Sannio</w:t>
      </w: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 per conto del comune di </w:t>
      </w:r>
      <w:r w:rsidR="00E8636C" w:rsidRPr="00E8636C">
        <w:rPr>
          <w:rFonts w:ascii="Times New Roman" w:hAnsi="Times New Roman" w:cs="Times New Roman"/>
          <w:color w:val="000000"/>
          <w:sz w:val="22"/>
          <w:szCs w:val="22"/>
        </w:rPr>
        <w:t>Torrecuso</w:t>
      </w: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E8636C" w:rsidRPr="00E8636C">
        <w:rPr>
          <w:rFonts w:ascii="Times New Roman" w:hAnsi="Times New Roman" w:cs="Times New Roman"/>
          <w:color w:val="000000"/>
          <w:sz w:val="22"/>
          <w:szCs w:val="22"/>
        </w:rPr>
        <w:t>BN</w:t>
      </w: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). </w:t>
      </w:r>
    </w:p>
    <w:p w14:paraId="2B01E451" w14:textId="2DA355B5" w:rsidR="00843E71" w:rsidRPr="00E8636C" w:rsidRDefault="00D35CBE" w:rsidP="00E8636C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5D098C2F" w:rsidR="00D35CBE" w:rsidRPr="00E8636C" w:rsidRDefault="00D35CBE" w:rsidP="00E8636C">
      <w:pPr>
        <w:pStyle w:val="Corpotesto"/>
        <w:kinsoku w:val="0"/>
        <w:overflowPunct w:val="0"/>
        <w:spacing w:line="276" w:lineRule="auto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14"/>
      </w:tblGrid>
      <w:tr w:rsidR="00D35CBE" w:rsidRPr="00E8636C" w14:paraId="60CFB54C" w14:textId="77777777" w:rsidTr="00E8636C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Il</w:t>
            </w:r>
            <w:r w:rsidRPr="00E8636C">
              <w:rPr>
                <w:rFonts w:ascii="Times New Roman" w:hAnsi="Times New Roman" w:cs="Times New Roman"/>
                <w:b/>
                <w:spacing w:val="-1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sottoscritto</w:t>
            </w:r>
          </w:p>
        </w:tc>
        <w:tc>
          <w:tcPr>
            <w:tcW w:w="7214" w:type="dxa"/>
            <w:shd w:val="clear" w:color="auto" w:fill="9CC2E4"/>
          </w:tcPr>
          <w:p w14:paraId="7472526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724B784" w14:textId="77777777" w:rsidTr="00E8636C">
        <w:trPr>
          <w:trHeight w:val="453"/>
        </w:trPr>
        <w:tc>
          <w:tcPr>
            <w:tcW w:w="2425" w:type="dxa"/>
          </w:tcPr>
          <w:p w14:paraId="1B6AFEE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Cognome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nome</w:t>
            </w:r>
          </w:p>
        </w:tc>
        <w:tc>
          <w:tcPr>
            <w:tcW w:w="7214" w:type="dxa"/>
          </w:tcPr>
          <w:p w14:paraId="72C192AC" w14:textId="6B1CFCBB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81BF4CD" w14:textId="77777777" w:rsidTr="00E8636C">
        <w:trPr>
          <w:trHeight w:val="455"/>
        </w:trPr>
        <w:tc>
          <w:tcPr>
            <w:tcW w:w="2425" w:type="dxa"/>
          </w:tcPr>
          <w:p w14:paraId="26A0ED2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Luogo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nascita</w:t>
            </w:r>
          </w:p>
        </w:tc>
        <w:tc>
          <w:tcPr>
            <w:tcW w:w="7214" w:type="dxa"/>
          </w:tcPr>
          <w:p w14:paraId="06B63BAC" w14:textId="521891E9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30947871" w14:textId="77777777" w:rsidTr="00E8636C">
        <w:trPr>
          <w:trHeight w:val="453"/>
        </w:trPr>
        <w:tc>
          <w:tcPr>
            <w:tcW w:w="2425" w:type="dxa"/>
          </w:tcPr>
          <w:p w14:paraId="038B229C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Codice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fiscale</w:t>
            </w:r>
          </w:p>
        </w:tc>
        <w:tc>
          <w:tcPr>
            <w:tcW w:w="7214" w:type="dxa"/>
          </w:tcPr>
          <w:p w14:paraId="0BBB6EC0" w14:textId="13A27AC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ADD65D6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4"/>
      </w:tblGrid>
      <w:tr w:rsidR="00D35CBE" w:rsidRPr="00E8636C" w14:paraId="7503AB30" w14:textId="77777777" w:rsidTr="00E8636C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Dipendente</w:t>
            </w:r>
            <w:r w:rsidRPr="00E8636C">
              <w:rPr>
                <w:rFonts w:ascii="Times New Roman" w:hAnsi="Times New Roman" w:cs="Times New Roman"/>
                <w:b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pubblico</w:t>
            </w:r>
          </w:p>
        </w:tc>
        <w:tc>
          <w:tcPr>
            <w:tcW w:w="4824" w:type="dxa"/>
            <w:shd w:val="clear" w:color="auto" w:fill="9CC2E4"/>
          </w:tcPr>
          <w:p w14:paraId="25CAED70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F0A1109" w14:textId="77777777" w:rsidTr="00E8636C">
        <w:trPr>
          <w:trHeight w:val="510"/>
        </w:trPr>
        <w:tc>
          <w:tcPr>
            <w:tcW w:w="4815" w:type="dxa"/>
          </w:tcPr>
          <w:p w14:paraId="28CB57E9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Ente</w:t>
            </w:r>
          </w:p>
        </w:tc>
        <w:tc>
          <w:tcPr>
            <w:tcW w:w="4824" w:type="dxa"/>
          </w:tcPr>
          <w:p w14:paraId="1BF848B5" w14:textId="193A74F4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530566C2" w14:textId="77777777" w:rsidTr="00E8636C">
        <w:trPr>
          <w:trHeight w:val="510"/>
        </w:trPr>
        <w:tc>
          <w:tcPr>
            <w:tcW w:w="4815" w:type="dxa"/>
          </w:tcPr>
          <w:p w14:paraId="603C5278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Struttura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(servizio,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sezione,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area)</w:t>
            </w:r>
          </w:p>
        </w:tc>
        <w:tc>
          <w:tcPr>
            <w:tcW w:w="4824" w:type="dxa"/>
          </w:tcPr>
          <w:p w14:paraId="0534BB63" w14:textId="72A57766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229EDF4" w14:textId="77777777" w:rsidTr="00E8636C">
        <w:trPr>
          <w:trHeight w:val="508"/>
        </w:trPr>
        <w:tc>
          <w:tcPr>
            <w:tcW w:w="4815" w:type="dxa"/>
          </w:tcPr>
          <w:p w14:paraId="1143F73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Ruolo</w:t>
            </w:r>
          </w:p>
        </w:tc>
        <w:tc>
          <w:tcPr>
            <w:tcW w:w="4824" w:type="dxa"/>
          </w:tcPr>
          <w:p w14:paraId="7770EC66" w14:textId="50E27E30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789A83D2" w14:textId="77777777" w:rsidTr="00E8636C">
        <w:trPr>
          <w:trHeight w:val="537"/>
        </w:trPr>
        <w:tc>
          <w:tcPr>
            <w:tcW w:w="4815" w:type="dxa"/>
          </w:tcPr>
          <w:p w14:paraId="5D9A8ED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(per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dipendenti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esterni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all’Amministrazione)</w:t>
            </w:r>
          </w:p>
          <w:p w14:paraId="0D67C3B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Riferimenti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autorizzazione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per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incarico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extra</w:t>
            </w:r>
            <w:r w:rsidRPr="00E8636C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ufficio</w:t>
            </w:r>
          </w:p>
        </w:tc>
        <w:tc>
          <w:tcPr>
            <w:tcW w:w="4824" w:type="dxa"/>
          </w:tcPr>
          <w:p w14:paraId="60CB76D4" w14:textId="3E2B5CCA" w:rsidR="00D67005" w:rsidRPr="00E8636C" w:rsidRDefault="00D67005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AC00334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498"/>
      </w:tblGrid>
      <w:tr w:rsidR="00D35CBE" w:rsidRPr="00E8636C" w14:paraId="405EFE41" w14:textId="77777777" w:rsidTr="00E8636C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Libero</w:t>
            </w:r>
            <w:r w:rsidRPr="00E8636C">
              <w:rPr>
                <w:rFonts w:ascii="Times New Roman" w:hAnsi="Times New Roman" w:cs="Times New Roman"/>
                <w:b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professionista</w:t>
            </w:r>
          </w:p>
        </w:tc>
        <w:tc>
          <w:tcPr>
            <w:tcW w:w="7498" w:type="dxa"/>
            <w:shd w:val="clear" w:color="auto" w:fill="9CC2E4"/>
          </w:tcPr>
          <w:p w14:paraId="264501B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62834D81" w14:textId="77777777" w:rsidTr="00E8636C">
        <w:trPr>
          <w:trHeight w:val="508"/>
        </w:trPr>
        <w:tc>
          <w:tcPr>
            <w:tcW w:w="2141" w:type="dxa"/>
          </w:tcPr>
          <w:p w14:paraId="174CCF5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Ordine/collegio</w:t>
            </w:r>
          </w:p>
        </w:tc>
        <w:tc>
          <w:tcPr>
            <w:tcW w:w="7498" w:type="dxa"/>
          </w:tcPr>
          <w:p w14:paraId="78BC151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E2B70E1" w14:textId="77777777" w:rsidTr="00E8636C">
        <w:trPr>
          <w:trHeight w:val="510"/>
        </w:trPr>
        <w:tc>
          <w:tcPr>
            <w:tcW w:w="2141" w:type="dxa"/>
          </w:tcPr>
          <w:p w14:paraId="624148D2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Numero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7D937CE6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C03D52F" w14:textId="77777777" w:rsidTr="00E8636C">
        <w:trPr>
          <w:trHeight w:val="510"/>
        </w:trPr>
        <w:tc>
          <w:tcPr>
            <w:tcW w:w="2141" w:type="dxa"/>
          </w:tcPr>
          <w:p w14:paraId="03961BD1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30B5DD9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23A628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Presa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visione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dell’elenco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degli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che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hanno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presentato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offerta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valere</w:t>
      </w:r>
      <w:r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sulla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gara: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206"/>
      </w:tblGrid>
      <w:tr w:rsidR="00D35CBE" w:rsidRPr="00E8636C" w14:paraId="386E7866" w14:textId="77777777" w:rsidTr="00E8636C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lastRenderedPageBreak/>
              <w:t>Gara</w:t>
            </w:r>
          </w:p>
        </w:tc>
        <w:tc>
          <w:tcPr>
            <w:tcW w:w="8206" w:type="dxa"/>
            <w:shd w:val="clear" w:color="auto" w:fill="9CC2E4"/>
          </w:tcPr>
          <w:p w14:paraId="3AA3C94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3A8F1D8" w14:textId="77777777" w:rsidTr="00E8636C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Procedura</w:t>
            </w:r>
          </w:p>
        </w:tc>
        <w:tc>
          <w:tcPr>
            <w:tcW w:w="8206" w:type="dxa"/>
            <w:vAlign w:val="center"/>
          </w:tcPr>
          <w:p w14:paraId="044C7173" w14:textId="3FA9B0AD" w:rsidR="00D35CBE" w:rsidRPr="00E8636C" w:rsidRDefault="00586FDA" w:rsidP="00E8636C">
            <w:pPr>
              <w:pStyle w:val="TableParagraph"/>
              <w:spacing w:line="276" w:lineRule="auto"/>
              <w:ind w:left="284" w:right="543"/>
              <w:jc w:val="both"/>
              <w:rPr>
                <w:rFonts w:ascii="Times New Roman" w:hAnsi="Times New Roman" w:cs="Times New Roman"/>
                <w:lang w:val="it-IT"/>
              </w:rPr>
            </w:pPr>
            <w:r w:rsidRPr="00586FDA">
              <w:rPr>
                <w:rFonts w:ascii="Times New Roman" w:hAnsi="Times New Roman" w:cs="Times New Roman"/>
                <w:b/>
                <w:bCs/>
                <w:i/>
                <w:color w:val="000000"/>
                <w:lang w:val="it-IT"/>
              </w:rPr>
              <w:t>"Risanamento idrogeologico e messa in sicurezza del costone in frana sito in lo-</w:t>
            </w:r>
            <w:proofErr w:type="spellStart"/>
            <w:r w:rsidRPr="00586FDA">
              <w:rPr>
                <w:rFonts w:ascii="Times New Roman" w:hAnsi="Times New Roman" w:cs="Times New Roman"/>
                <w:b/>
                <w:bCs/>
                <w:i/>
                <w:color w:val="000000"/>
                <w:lang w:val="it-IT"/>
              </w:rPr>
              <w:t>calità</w:t>
            </w:r>
            <w:proofErr w:type="spellEnd"/>
            <w:r w:rsidRPr="00586FDA">
              <w:rPr>
                <w:rFonts w:ascii="Times New Roman" w:hAnsi="Times New Roman" w:cs="Times New Roman"/>
                <w:b/>
                <w:bCs/>
                <w:i/>
                <w:color w:val="000000"/>
                <w:lang w:val="it-IT"/>
              </w:rPr>
              <w:t xml:space="preserve"> Torrepalazzo lungo la S.S. 87 al Km 82+350"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it-IT"/>
              </w:rPr>
              <w:t>. Procedura aperta ai sensi dell’art. 71 e 108 co. 1 dlg 36/2023</w:t>
            </w:r>
          </w:p>
        </w:tc>
      </w:tr>
      <w:tr w:rsidR="00D35CBE" w:rsidRPr="00E8636C" w14:paraId="31047C4A" w14:textId="77777777" w:rsidTr="00E8636C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CIG</w:t>
            </w:r>
          </w:p>
        </w:tc>
        <w:tc>
          <w:tcPr>
            <w:tcW w:w="8206" w:type="dxa"/>
            <w:vAlign w:val="center"/>
          </w:tcPr>
          <w:p w14:paraId="12BB2844" w14:textId="2C21A85B" w:rsidR="00D35CBE" w:rsidRPr="00E8636C" w:rsidRDefault="00586FDA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586FDA">
              <w:rPr>
                <w:rFonts w:ascii="Times New Roman" w:hAnsi="Times New Roman" w:cs="Times New Roman"/>
                <w:i/>
                <w:iCs/>
                <w:color w:val="000000"/>
              </w:rPr>
              <w:t>B9CEB01AE3</w:t>
            </w:r>
          </w:p>
        </w:tc>
      </w:tr>
      <w:tr w:rsidR="00D35CBE" w:rsidRPr="00E8636C" w14:paraId="1857A7AA" w14:textId="77777777" w:rsidTr="00E8636C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CUP</w:t>
            </w:r>
          </w:p>
        </w:tc>
        <w:tc>
          <w:tcPr>
            <w:tcW w:w="8206" w:type="dxa"/>
            <w:vAlign w:val="center"/>
          </w:tcPr>
          <w:p w14:paraId="4C2DE930" w14:textId="6AC6DD32" w:rsidR="00D35CBE" w:rsidRPr="00E8636C" w:rsidRDefault="00586FDA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586FDA">
              <w:rPr>
                <w:rFonts w:ascii="Times New Roman" w:hAnsi="Times New Roman" w:cs="Times New Roman"/>
                <w:i/>
                <w:iCs/>
                <w:color w:val="000000"/>
              </w:rPr>
              <w:t>D47B15000340009</w:t>
            </w:r>
          </w:p>
        </w:tc>
      </w:tr>
    </w:tbl>
    <w:p w14:paraId="74478B97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0E29CE32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relazione:</w:t>
      </w:r>
    </w:p>
    <w:p w14:paraId="74D81DD1" w14:textId="140864EA" w:rsidR="00D35CBE" w:rsidRPr="00E8636C" w:rsidRDefault="00E8636C" w:rsidP="00E8636C">
      <w:pPr>
        <w:widowControl w:val="0"/>
        <w:tabs>
          <w:tab w:val="left" w:pos="299"/>
          <w:tab w:val="left" w:pos="567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all’incarico,</w:t>
      </w:r>
      <w:r w:rsidR="00D35CBE"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svolto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qualità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="00D35CBE" w:rsidRPr="00E8636C">
        <w:rPr>
          <w:rFonts w:ascii="Times New Roman" w:hAnsi="Times New Roman" w:cs="Times New Roman"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  <w:u w:val="single"/>
        </w:rPr>
        <w:t>_</w:t>
      </w:r>
      <w:proofErr w:type="gramEnd"/>
      <w:r w:rsidRPr="00E8636C">
        <w:rPr>
          <w:rFonts w:ascii="Times New Roman" w:hAnsi="Times New Roman" w:cs="Times New Roman"/>
          <w:sz w:val="22"/>
          <w:szCs w:val="22"/>
          <w:u w:val="single"/>
        </w:rPr>
        <w:t>_________________</w:t>
      </w:r>
    </w:p>
    <w:p w14:paraId="79DD106C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</w:p>
    <w:p w14:paraId="30CBFD91" w14:textId="6A118C7F" w:rsidR="00D35CBE" w:rsidRPr="00E8636C" w:rsidRDefault="00E8636C" w:rsidP="00E8636C">
      <w:pPr>
        <w:widowControl w:val="0"/>
        <w:tabs>
          <w:tab w:val="left" w:pos="299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7114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4A87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relazione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nomina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membro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Commissione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giudicatrice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suddetta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gara</w:t>
      </w:r>
    </w:p>
    <w:p w14:paraId="22F43FB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414B3449" w14:textId="6D9C5EF8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Ai sensi dell’art. 47 del d.P.R. n. 445/2000 e </w:t>
      </w:r>
      <w:proofErr w:type="spellStart"/>
      <w:r w:rsidRPr="00E8636C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E8636C">
        <w:rPr>
          <w:rFonts w:ascii="Times New Roman" w:hAnsi="Times New Roman" w:cs="Times New Roman"/>
          <w:sz w:val="22"/>
          <w:szCs w:val="22"/>
        </w:rPr>
        <w:t xml:space="preserve"> e consapevole delle sanzioni penali previste dall’art. 76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medesimo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d.P.R.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n.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445/2000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per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ipotesi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falsità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dichiarazioni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mendaci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ivi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indicate,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la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responsabilità</w:t>
      </w:r>
    </w:p>
    <w:p w14:paraId="7D21B77F" w14:textId="77777777" w:rsidR="00D35CBE" w:rsidRPr="00E8636C" w:rsidRDefault="00D35CBE" w:rsidP="00E8636C">
      <w:pPr>
        <w:spacing w:before="0" w:after="0"/>
        <w:ind w:left="284" w:right="5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1898152" w14:textId="01B155EE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</w:t>
      </w:r>
      <w:r w:rsidRPr="00E8636C">
        <w:rPr>
          <w:rFonts w:ascii="Times New Roman" w:hAnsi="Times New Roman" w:cs="Times New Roman"/>
          <w:b/>
          <w:spacing w:val="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proprio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carico</w:t>
      </w:r>
      <w:r w:rsidRPr="00E8636C">
        <w:rPr>
          <w:rFonts w:ascii="Times New Roman" w:hAnsi="Times New Roman" w:cs="Times New Roman"/>
          <w:b/>
          <w:spacing w:val="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delle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cause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di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incompatibilità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previste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dall’art.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93,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comma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5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</w:t>
      </w:r>
      <w:r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="00F27D1C"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27D1C" w:rsidRPr="00E8636C">
        <w:rPr>
          <w:rFonts w:ascii="Times New Roman" w:hAnsi="Times New Roman" w:cs="Times New Roman"/>
          <w:b/>
          <w:sz w:val="22"/>
          <w:szCs w:val="22"/>
        </w:rPr>
        <w:t>D.Lgs.</w:t>
      </w:r>
      <w:proofErr w:type="spellEnd"/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Pr="00E8636C">
        <w:rPr>
          <w:rFonts w:ascii="Times New Roman" w:hAnsi="Times New Roman" w:cs="Times New Roman"/>
          <w:b/>
          <w:sz w:val="22"/>
          <w:szCs w:val="22"/>
        </w:rPr>
        <w:t>36/2023:</w:t>
      </w:r>
    </w:p>
    <w:p w14:paraId="6332D5C4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93.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(Commissione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giudicatrice)</w:t>
      </w:r>
    </w:p>
    <w:p w14:paraId="303FBC23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5.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essere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nominati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commissari:</w:t>
      </w:r>
    </w:p>
    <w:p w14:paraId="78A1848D" w14:textId="67670BC2" w:rsidR="00E8636C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nel biennio precedente all’indizione della procedura di aggiudicazione sono stati componenti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organi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indirizzo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politico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della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stazione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appaltante;</w:t>
      </w:r>
    </w:p>
    <w:p w14:paraId="50D9D2C3" w14:textId="0053BE9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sono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condannati,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sentenza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passata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giudicato,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reati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Titolo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Libro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codice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penale;</w:t>
      </w:r>
      <w:r w:rsid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</w:p>
    <w:p w14:paraId="4F776213" w14:textId="7E2DA72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trovano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situazione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partecipanti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 procedura; costituiscono situazioni di conflitto di interessi quelle che determinano l'obbligo di astensione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previste dall'</w:t>
      </w:r>
      <w:hyperlink r:id="rId8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E8636C">
        <w:rPr>
          <w:rFonts w:ascii="Times New Roman" w:hAnsi="Times New Roman" w:cs="Times New Roman"/>
          <w:i/>
          <w:color w:val="0462C1"/>
          <w:spacing w:val="1"/>
          <w:sz w:val="22"/>
          <w:szCs w:val="22"/>
        </w:rPr>
        <w:t xml:space="preserve"> </w:t>
      </w:r>
      <w:hyperlink r:id="rId9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16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aprile 2013,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E8636C">
        <w:rPr>
          <w:rFonts w:ascii="Times New Roman" w:hAnsi="Times New Roman" w:cs="Times New Roman"/>
          <w:i/>
          <w:sz w:val="22"/>
          <w:szCs w:val="22"/>
        </w:rPr>
        <w:t>”.</w:t>
      </w:r>
    </w:p>
    <w:p w14:paraId="38720F28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FA4793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51 c.p.c.</w:t>
      </w:r>
    </w:p>
    <w:p w14:paraId="1CCA899A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l'obbligo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astenersi:</w:t>
      </w:r>
    </w:p>
    <w:p w14:paraId="210D8D53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altra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vertente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identica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questione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diritto;</w:t>
      </w:r>
    </w:p>
    <w:p w14:paraId="1FF35B5B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egli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stesso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moglie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parente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fino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quarto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grado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legato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da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vincoli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affiliazione,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convivente</w:t>
      </w:r>
      <w:r w:rsidRPr="00E8636C">
        <w:rPr>
          <w:rFonts w:ascii="Times New Roman" w:hAnsi="Times New Roman" w:cs="Times New Roman"/>
          <w:i/>
          <w:spacing w:val="-45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 commensale abituale 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 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difensori;</w:t>
      </w:r>
    </w:p>
    <w:p w14:paraId="5604805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>se egli stesso o la moglie ha causa pendente o grave inimicizia o rapporti di credito o debito con 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suoi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difensori;</w:t>
      </w:r>
    </w:p>
    <w:p w14:paraId="05BD1C26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consiglio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prestato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patrocinio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deposto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testimone,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conosciuto come magistrato in altro grado del processo o come arbitro o vi ha prestato assistenza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consulente tecnico;</w:t>
      </w:r>
    </w:p>
    <w:p w14:paraId="42ED7F4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 è tutore, curatore, amministratore di sostegno, procuratore, agente o datore di lavoro di una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parti; se, inoltre, è amministratore o gerente di un ente, di un'associazione anche non riconosciuta, di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 comitato,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società 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stabilimento che ha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causa.</w:t>
      </w:r>
    </w:p>
    <w:p w14:paraId="2C3967DE" w14:textId="0ABC4DC6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In ogni altro caso in cui esistono gravi ragioni di convenienza, il giudice può richiedere al capo dell'ufficio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astenersi;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quando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l'astensione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riguarda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dell'ufficio,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chiesta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superiore”.</w:t>
      </w:r>
    </w:p>
    <w:p w14:paraId="7500490B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5280A6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1)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 xml:space="preserve">16 </w:t>
      </w:r>
      <w:proofErr w:type="spellStart"/>
      <w:r w:rsidRPr="00E8636C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E8636C">
        <w:rPr>
          <w:rFonts w:ascii="Times New Roman" w:hAnsi="Times New Roman" w:cs="Times New Roman"/>
          <w:i/>
          <w:sz w:val="22"/>
          <w:szCs w:val="22"/>
        </w:rPr>
        <w:t xml:space="preserve"> 36/2023:</w:t>
      </w:r>
    </w:p>
    <w:p w14:paraId="2FF1F9EC" w14:textId="77777777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“1. Si ha conflitto di interessi quando un soggetto che, a qualsiasi titolo, interviene con compiti funzionali nella</w:t>
      </w:r>
      <w:r w:rsidRPr="00E8636C">
        <w:rPr>
          <w:rFonts w:ascii="Times New Roman" w:hAnsi="Times New Roman" w:cs="Times New Roman"/>
          <w:i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 di aggiudicazione o nella fase di esecuzione degli appalti o delle concessioni e ne può influenzare, in</w:t>
      </w:r>
      <w:r w:rsidRPr="00E8636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qualsiasi modo, il risultato, gli esiti e la gestione, ha direttamente o indirettamente un interesse finanziario,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economico o altro interesse personale che può essere percepito come una minaccia concreta ed effettiva alla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imparzialità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indipendenza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contesto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della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aggiudicazione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nella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fase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esecuzione.</w:t>
      </w:r>
    </w:p>
    <w:p w14:paraId="710D9B1D" w14:textId="146EA6D8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2. In coerenza con il principio della fiducia e per preservare la funzionalità dell’azione amministrativa, 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percepita minaccia all’imparzialità e indipendenza deve essere provata da chi invoca il conflitto sulla base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presupposti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specifici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documentati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deve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riferirsi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effettivi,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soddisfazione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conseguibile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solo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subordinando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 all’altro.</w:t>
      </w:r>
    </w:p>
    <w:p w14:paraId="21E720F6" w14:textId="77777777" w:rsidR="00624DB9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3.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personale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versa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nelle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1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dà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comunicazione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stazione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appaltante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all’ente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concedente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 procedura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aggiudicazione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all’esecuzione.</w:t>
      </w:r>
    </w:p>
    <w:p w14:paraId="5AFB5319" w14:textId="791C7AD6" w:rsidR="00D35CBE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4.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E8636C">
        <w:rPr>
          <w:rFonts w:ascii="Times New Roman" w:hAnsi="Times New Roman" w:cs="Times New Roman"/>
          <w:i/>
          <w:sz w:val="22"/>
          <w:szCs w:val="22"/>
        </w:rPr>
        <w:t>per</w:t>
      </w:r>
      <w:proofErr w:type="gramEnd"/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 individuare, prevenire e risolvere in modo efficace ogni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delle concessioni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 vigilano affinché gli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adempimenti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3 siano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rispettati”.</w:t>
      </w:r>
    </w:p>
    <w:p w14:paraId="76AFBC9F" w14:textId="6C5379AE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2)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bis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legge 241/1990:</w:t>
      </w:r>
    </w:p>
    <w:p w14:paraId="4EE41819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responsabile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procedimento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titolari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uffici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competenti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adottare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pareri,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valutazioni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tecniche,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gli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endoprocedimentali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provvedimento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finale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devono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astenersi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interessi,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segnalando</w:t>
      </w:r>
      <w:r w:rsidRPr="00E8636C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ogni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situazione 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potenziale”;</w:t>
      </w:r>
    </w:p>
    <w:p w14:paraId="1F7D4622" w14:textId="52A968B5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 comma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2 del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23F8520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>“Il dipendente si astiene dal prendere decisioni o svolgere attività inerenti alle sue mansioni in situazioni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potenziale, di interessi con interessi personali, del coniuge, di conviventi, di parenti, di affini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entro il secondo grado. Il conflitto può riguardare interessi di qualsiasi natura, anche non patrimoniali, come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quelli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derivanti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dall'intento 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voler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assecondare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pressioni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politiche, sindacali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superiori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gerarchici”.</w:t>
      </w:r>
    </w:p>
    <w:p w14:paraId="086FC1EB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4)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7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426F1303" w14:textId="26FF19F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dipendente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all'adozione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decisioni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attività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possano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coinvolgere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propri, ovvero di suoi parenti, affini entro il secondo grado, del coniuge o di conviventi, oppure di persone con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rapporti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frequentazione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abituale,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ovvero,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od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egli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coniuge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 causa pendente o grave inimicizia o rapporti di credito o debito significativi, ovvero di soggetti od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tutore,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curatore, procuratore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 agente, ovvero 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enti,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associazioni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anche non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riconosciute, comitati, società o stabilimenti di cui sia amministratore o gerente o dirigente. Il dipendente si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astiene in ogni altro caso in cui esistano gravi ragioni di convenienza. Sull'astensione decide il responsabile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appartenenza”.</w:t>
      </w:r>
    </w:p>
    <w:p w14:paraId="2393F305" w14:textId="77777777" w:rsidR="00F27D1C" w:rsidRPr="00E8636C" w:rsidRDefault="00F27D1C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3EAF8CF6" w14:textId="2D1E5D6F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previste all’art. 35 bis, comma 1, lett. c, del D.lgs. 165/2001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“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Art. 35-bis (Prevenzione del fenomeno della corruzione nella formazione di commissioni e nelle</w:t>
      </w:r>
      <w:r w:rsidRPr="00E8636C">
        <w:rPr>
          <w:rFonts w:ascii="Times New Roman" w:hAnsi="Times New Roman" w:cs="Times New Roman"/>
          <w:b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assegnazioni agli</w:t>
      </w:r>
      <w:r w:rsidRPr="00E8636C">
        <w:rPr>
          <w:rFonts w:ascii="Times New Roman" w:hAnsi="Times New Roman" w:cs="Times New Roman"/>
          <w:b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uffici).</w:t>
      </w:r>
    </w:p>
    <w:p w14:paraId="6FBF990C" w14:textId="01FB5399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sono stati condannati, anche con sentenza non passata in giudicato, per i reati previsti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 capo 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II del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libro secondo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codice penale:</w:t>
      </w:r>
    </w:p>
    <w:p w14:paraId="14B739F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fare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compiti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segreteria,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l’accesso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selezione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impieghi;</w:t>
      </w:r>
    </w:p>
    <w:p w14:paraId="54691E4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essere assegnati, anche con funzioni direttive, agli uffici preposti alla gestione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risorse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all’acquisizione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beni,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all’erogazione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attribuzioni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 privati;</w:t>
      </w:r>
    </w:p>
    <w:p w14:paraId="01DBF375" w14:textId="7F9363D0" w:rsidR="00D35CBE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fare parte delle commissioni per la scelta del contraente per l’affidamento di lavori,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l’erogazione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finanziari,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 l’attribuzione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 economici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qualunque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genere.</w:t>
      </w:r>
    </w:p>
    <w:p w14:paraId="6E176EE5" w14:textId="77777777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La disposizione prevista al comma 1 integra le leggi e regolamenti che disciplinano la formazione di commissioni e la nomina dei relativi segretari”.</w:t>
      </w:r>
    </w:p>
    <w:p w14:paraId="2932439F" w14:textId="31C77662" w:rsidR="00DE053A" w:rsidRPr="00E8636C" w:rsidRDefault="00DE053A" w:rsidP="00E8636C">
      <w:pPr>
        <w:spacing w:before="0" w:after="0"/>
        <w:ind w:right="543"/>
        <w:rPr>
          <w:rFonts w:ascii="Times New Roman" w:hAnsi="Times New Roman" w:cs="Times New Roman"/>
          <w:i/>
          <w:iCs/>
          <w:sz w:val="22"/>
          <w:szCs w:val="22"/>
        </w:rPr>
      </w:pPr>
      <w:r w:rsidRPr="00E8636C">
        <w:rPr>
          <w:rFonts w:ascii="Times New Roman" w:hAnsi="Times New Roman" w:cs="Times New Roman"/>
          <w:i/>
          <w:iCs/>
          <w:sz w:val="22"/>
          <w:szCs w:val="22"/>
        </w:rPr>
        <w:t>Luogo e Data</w:t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74E0EDE3" w14:textId="7A31C225" w:rsidR="00941CDE" w:rsidRPr="00E8636C" w:rsidRDefault="00DE053A" w:rsidP="00E8636C">
      <w:pPr>
        <w:spacing w:before="0" w:after="0"/>
        <w:ind w:left="284" w:right="543" w:firstLine="70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  </w:t>
      </w:r>
      <w:r w:rsidR="00D35CBE" w:rsidRPr="00E8636C">
        <w:rPr>
          <w:rFonts w:ascii="Times New Roman" w:hAnsi="Times New Roman" w:cs="Times New Roman"/>
          <w:sz w:val="22"/>
          <w:szCs w:val="22"/>
        </w:rPr>
        <w:t>Firma</w:t>
      </w:r>
    </w:p>
    <w:p w14:paraId="1326853B" w14:textId="1FDB813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42F84796" w14:textId="527C554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370E8266" w14:textId="49EF04B2" w:rsidR="00D35CBE" w:rsidRPr="00E8636C" w:rsidRDefault="00D35CBE" w:rsidP="00E8636C">
      <w:pPr>
        <w:spacing w:before="0" w:after="0"/>
        <w:ind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  <w:r w:rsidR="00E8636C">
        <w:rPr>
          <w:rFonts w:ascii="Times New Roman" w:hAnsi="Times New Roman" w:cs="Times New Roman"/>
          <w:sz w:val="22"/>
          <w:szCs w:val="22"/>
        </w:rPr>
        <w:t>N</w:t>
      </w:r>
      <w:r w:rsidRPr="00E8636C">
        <w:rPr>
          <w:rFonts w:ascii="Times New Roman" w:hAnsi="Times New Roman" w:cs="Times New Roman"/>
          <w:sz w:val="22"/>
          <w:szCs w:val="22"/>
        </w:rPr>
        <w:t>.B.: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allega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copia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un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documento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identità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corso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 validità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sottoscrizione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autografa</w:t>
      </w:r>
    </w:p>
    <w:sectPr w:rsidR="00D35CBE" w:rsidRPr="00E8636C" w:rsidSect="00E8636C">
      <w:headerReference w:type="default" r:id="rId10"/>
      <w:footerReference w:type="default" r:id="rId11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5AD8" w14:textId="77777777" w:rsidR="00851626" w:rsidRDefault="00851626" w:rsidP="00D91E55">
      <w:pPr>
        <w:spacing w:before="0" w:after="0" w:line="240" w:lineRule="auto"/>
      </w:pPr>
      <w:r>
        <w:separator/>
      </w:r>
    </w:p>
  </w:endnote>
  <w:endnote w:type="continuationSeparator" w:id="0">
    <w:p w14:paraId="3DEFD8EE" w14:textId="77777777" w:rsidR="00851626" w:rsidRDefault="00851626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154"/>
      <w:gridCol w:w="2039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65D4" w14:textId="77777777" w:rsidR="00851626" w:rsidRDefault="00851626" w:rsidP="00D91E55">
      <w:pPr>
        <w:spacing w:before="0" w:after="0" w:line="240" w:lineRule="auto"/>
      </w:pPr>
      <w:r>
        <w:separator/>
      </w:r>
    </w:p>
  </w:footnote>
  <w:footnote w:type="continuationSeparator" w:id="0">
    <w:p w14:paraId="64B8B289" w14:textId="77777777" w:rsidR="00851626" w:rsidRDefault="00851626" w:rsidP="00D91E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7" w:type="dxa"/>
      <w:jc w:val="center"/>
      <w:tblLook w:val="04A0" w:firstRow="1" w:lastRow="0" w:firstColumn="1" w:lastColumn="0" w:noHBand="0" w:noVBand="1"/>
    </w:tblPr>
    <w:tblGrid>
      <w:gridCol w:w="1027"/>
      <w:gridCol w:w="912"/>
      <w:gridCol w:w="1056"/>
      <w:gridCol w:w="1311"/>
      <w:gridCol w:w="1061"/>
      <w:gridCol w:w="1050"/>
    </w:tblGrid>
    <w:tr w:rsidR="00E8636C" w:rsidRPr="00063341" w14:paraId="727ABA94" w14:textId="77777777" w:rsidTr="00E40A2D">
      <w:trPr>
        <w:jc w:val="center"/>
      </w:trPr>
      <w:tc>
        <w:tcPr>
          <w:tcW w:w="1018" w:type="dxa"/>
        </w:tcPr>
        <w:p w14:paraId="261FF98D" w14:textId="709C359B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4BBC7AD" wp14:editId="3F5D1284">
                <wp:extent cx="504825" cy="676275"/>
                <wp:effectExtent l="0" t="0" r="9525" b="9525"/>
                <wp:docPr id="123551216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" w:type="dxa"/>
        </w:tcPr>
        <w:p w14:paraId="33B5577C" w14:textId="02530354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72E8108F" wp14:editId="70803A8C">
                <wp:extent cx="438150" cy="704850"/>
                <wp:effectExtent l="0" t="0" r="0" b="0"/>
                <wp:docPr id="86679354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3" w:type="dxa"/>
        </w:tcPr>
        <w:p w14:paraId="4EEA11E7" w14:textId="2B31F9F3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BD0408D" wp14:editId="2E0905D8">
                <wp:extent cx="533400" cy="704850"/>
                <wp:effectExtent l="0" t="0" r="0" b="0"/>
                <wp:docPr id="45196492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5" w:type="dxa"/>
        </w:tcPr>
        <w:p w14:paraId="04BDAD4E" w14:textId="1DEEA1E9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8225EE">
            <w:rPr>
              <w:noProof/>
            </w:rPr>
            <w:drawing>
              <wp:inline distT="0" distB="0" distL="0" distR="0" wp14:anchorId="0F492BC8" wp14:editId="64D36C4D">
                <wp:extent cx="685800" cy="685800"/>
                <wp:effectExtent l="0" t="0" r="0" b="0"/>
                <wp:docPr id="1224061324" name="Immagine 3" descr="Comune di Puglian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Comune di Puglian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" w:type="dxa"/>
        </w:tcPr>
        <w:p w14:paraId="7BAE2967" w14:textId="0E6C45C2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052140DF" wp14:editId="667AC1DE">
                <wp:extent cx="533400" cy="704850"/>
                <wp:effectExtent l="0" t="0" r="0" b="0"/>
                <wp:docPr id="64833131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" w:type="dxa"/>
        </w:tcPr>
        <w:p w14:paraId="63774ABA" w14:textId="77777777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>
            <w:fldChar w:fldCharType="begin"/>
          </w:r>
          <w:r>
            <w:instrText xml:space="preserve"> INCLUDEPICTURE "http://www.comune.melizzano.bn.it/images/melizzano.jpg" \* MERGEFORMATINET </w:instrText>
          </w:r>
          <w:r>
            <w:fldChar w:fldCharType="separate"/>
          </w:r>
          <w:r>
            <w:pict w14:anchorId="67C25A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7" type="#_x0000_t75" style="width:41.25pt;height:49.5pt">
                <v:imagedata r:id="rId6" r:href="rId7" croptop="3383f" cropleft="971f" cropright="52262f"/>
              </v:shape>
            </w:pict>
          </w:r>
          <w:r>
            <w:fldChar w:fldCharType="end"/>
          </w:r>
        </w:p>
      </w:tc>
    </w:tr>
  </w:tbl>
  <w:p w14:paraId="6F9829FA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sz w:val="40"/>
        <w:szCs w:val="40"/>
      </w:rPr>
    </w:pPr>
    <w:r w:rsidRPr="001E618D">
      <w:rPr>
        <w:rFonts w:ascii="Garamond" w:hAnsi="Garamond" w:cs="Arial"/>
        <w:b/>
        <w:sz w:val="40"/>
        <w:szCs w:val="40"/>
      </w:rPr>
      <w:t>CENTRALE UNICA DI COMMITTENZA</w:t>
    </w:r>
  </w:p>
  <w:p w14:paraId="1EE75BA9" w14:textId="77777777" w:rsidR="00E8636C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Cs w:val="28"/>
        <w:vertAlign w:val="superscript"/>
      </w:rPr>
    </w:pPr>
    <w:r w:rsidRPr="001E618D">
      <w:rPr>
        <w:rFonts w:ascii="Garamond" w:hAnsi="Garamond" w:cs="Courier New"/>
        <w:b/>
        <w:spacing w:val="40"/>
        <w:position w:val="6"/>
        <w:szCs w:val="28"/>
        <w:vertAlign w:val="superscript"/>
      </w:rPr>
      <w:t>COMUNI DI</w:t>
    </w:r>
    <w:r>
      <w:rPr>
        <w:rFonts w:ascii="Garamond" w:hAnsi="Garamond" w:cs="Courier New"/>
        <w:b/>
        <w:spacing w:val="40"/>
        <w:position w:val="6"/>
        <w:szCs w:val="28"/>
        <w:vertAlign w:val="superscript"/>
      </w:rPr>
      <w:t xml:space="preserve"> </w:t>
    </w:r>
  </w:p>
  <w:p w14:paraId="067F3BDC" w14:textId="57D198FF" w:rsidR="00E8636C" w:rsidRPr="008F2D1D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 w:val="24"/>
        <w:szCs w:val="24"/>
        <w:vertAlign w:val="superscript"/>
      </w:rPr>
    </w:pP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TORRECUSO(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u w:val="single"/>
        <w:vertAlign w:val="superscript"/>
      </w:rPr>
      <w:t>CAPOFILA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) - PAUPISI - PONTE - PUGLIANELLO - SANT’ARCANGELO T. – MELIZZANO</w:t>
    </w:r>
  </w:p>
  <w:p w14:paraId="5A280A70" w14:textId="77777777" w:rsidR="00E8636C" w:rsidRPr="001E618D" w:rsidRDefault="00E8636C" w:rsidP="00E8636C">
    <w:pPr>
      <w:tabs>
        <w:tab w:val="center" w:pos="4818"/>
        <w:tab w:val="left" w:pos="5385"/>
        <w:tab w:val="left" w:pos="8738"/>
      </w:tabs>
      <w:spacing w:before="0" w:after="0" w:line="240" w:lineRule="auto"/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</w:pP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  <w:r w:rsidRPr="001E618D"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>Provincia di Benevento</w:t>
    </w: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</w:p>
  <w:p w14:paraId="4D254846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iCs/>
        <w:sz w:val="18"/>
        <w:szCs w:val="18"/>
      </w:rPr>
    </w:pPr>
    <w:r w:rsidRPr="001E618D">
      <w:rPr>
        <w:rFonts w:ascii="Garamond" w:hAnsi="Garamond"/>
        <w:iCs/>
        <w:sz w:val="18"/>
        <w:szCs w:val="18"/>
      </w:rPr>
      <w:t xml:space="preserve">Piazza Antonio Fusco,1 </w:t>
    </w:r>
    <w:proofErr w:type="gramStart"/>
    <w:r w:rsidRPr="001E618D">
      <w:rPr>
        <w:rFonts w:ascii="Garamond" w:hAnsi="Garamond"/>
        <w:iCs/>
        <w:sz w:val="18"/>
        <w:szCs w:val="18"/>
      </w:rPr>
      <w:t>82030  Torrecuso</w:t>
    </w:r>
    <w:proofErr w:type="gramEnd"/>
    <w:r w:rsidRPr="001E618D">
      <w:rPr>
        <w:rFonts w:ascii="Garamond" w:hAnsi="Garamond"/>
        <w:iCs/>
        <w:sz w:val="18"/>
        <w:szCs w:val="18"/>
      </w:rPr>
      <w:t xml:space="preserve"> (BN) Tel. 0824.889711 - Fax 0824.889732</w:t>
    </w:r>
  </w:p>
  <w:p w14:paraId="2A527A40" w14:textId="77777777" w:rsidR="00E8636C" w:rsidRDefault="00E8636C" w:rsidP="00E8636C">
    <w:pPr>
      <w:spacing w:before="0" w:after="0" w:line="240" w:lineRule="auto"/>
      <w:jc w:val="center"/>
      <w:rPr>
        <w:rFonts w:ascii="Garamond" w:hAnsi="Garamond"/>
        <w:iCs/>
        <w:color w:val="0000FF"/>
        <w:sz w:val="18"/>
        <w:szCs w:val="18"/>
        <w:u w:val="single"/>
      </w:rPr>
    </w:pPr>
    <w:r w:rsidRPr="001E618D">
      <w:rPr>
        <w:rFonts w:ascii="Garamond" w:hAnsi="Garamond"/>
        <w:iCs/>
        <w:sz w:val="18"/>
        <w:szCs w:val="18"/>
      </w:rPr>
      <w:t xml:space="preserve">PEC: </w:t>
    </w:r>
    <w:hyperlink r:id="rId8" w:history="1">
      <w:r w:rsidRPr="001E618D">
        <w:rPr>
          <w:rFonts w:ascii="Garamond" w:hAnsi="Garamond"/>
          <w:iCs/>
          <w:color w:val="0000FF"/>
          <w:sz w:val="18"/>
          <w:szCs w:val="18"/>
          <w:u w:val="single"/>
        </w:rPr>
        <w:t>info@pec.comune.torrecuso.bn.it</w:t>
      </w:r>
    </w:hyperlink>
    <w:r w:rsidRPr="001E618D">
      <w:rPr>
        <w:rFonts w:ascii="Garamond" w:hAnsi="Garamond"/>
        <w:iCs/>
        <w:sz w:val="18"/>
        <w:szCs w:val="18"/>
      </w:rPr>
      <w:t xml:space="preserve">;     </w:t>
    </w:r>
    <w:hyperlink r:id="rId9" w:history="1">
      <w:r w:rsidRPr="001E618D">
        <w:rPr>
          <w:rFonts w:ascii="Garamond" w:hAnsi="Garamond"/>
          <w:iCs/>
          <w:color w:val="0000FF"/>
          <w:sz w:val="18"/>
          <w:szCs w:val="18"/>
          <w:u w:val="single"/>
        </w:rPr>
        <w:t>utc@pec.comune.torrecuso.bn.it</w:t>
      </w:r>
    </w:hyperlink>
  </w:p>
  <w:p w14:paraId="414D3E5A" w14:textId="77777777" w:rsidR="00E8636C" w:rsidRPr="00E8636C" w:rsidRDefault="00E8636C" w:rsidP="00E86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6774">
    <w:abstractNumId w:val="11"/>
  </w:num>
  <w:num w:numId="2" w16cid:durableId="892235851">
    <w:abstractNumId w:val="9"/>
  </w:num>
  <w:num w:numId="3" w16cid:durableId="1842696046">
    <w:abstractNumId w:val="5"/>
  </w:num>
  <w:num w:numId="4" w16cid:durableId="477965504">
    <w:abstractNumId w:val="12"/>
  </w:num>
  <w:num w:numId="5" w16cid:durableId="391318207">
    <w:abstractNumId w:val="2"/>
  </w:num>
  <w:num w:numId="6" w16cid:durableId="1707099851">
    <w:abstractNumId w:val="15"/>
  </w:num>
  <w:num w:numId="7" w16cid:durableId="213542876">
    <w:abstractNumId w:val="4"/>
  </w:num>
  <w:num w:numId="8" w16cid:durableId="1879005466">
    <w:abstractNumId w:val="13"/>
  </w:num>
  <w:num w:numId="9" w16cid:durableId="330564082">
    <w:abstractNumId w:val="3"/>
  </w:num>
  <w:num w:numId="10" w16cid:durableId="1480342829">
    <w:abstractNumId w:val="14"/>
  </w:num>
  <w:num w:numId="11" w16cid:durableId="1289704120">
    <w:abstractNumId w:val="7"/>
  </w:num>
  <w:num w:numId="12" w16cid:durableId="835262195">
    <w:abstractNumId w:val="8"/>
  </w:num>
  <w:num w:numId="13" w16cid:durableId="968704499">
    <w:abstractNumId w:val="0"/>
  </w:num>
  <w:num w:numId="14" w16cid:durableId="2028556447">
    <w:abstractNumId w:val="1"/>
  </w:num>
  <w:num w:numId="15" w16cid:durableId="1305162820">
    <w:abstractNumId w:val="6"/>
  </w:num>
  <w:num w:numId="16" w16cid:durableId="203294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0291E"/>
    <w:rsid w:val="0011371A"/>
    <w:rsid w:val="001510F8"/>
    <w:rsid w:val="0017163A"/>
    <w:rsid w:val="001901E6"/>
    <w:rsid w:val="001E0729"/>
    <w:rsid w:val="00252FED"/>
    <w:rsid w:val="00254D96"/>
    <w:rsid w:val="002837BC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0ADE"/>
    <w:rsid w:val="004C450A"/>
    <w:rsid w:val="004E6E84"/>
    <w:rsid w:val="005125C3"/>
    <w:rsid w:val="00515154"/>
    <w:rsid w:val="00517CA0"/>
    <w:rsid w:val="00531AE4"/>
    <w:rsid w:val="00586FDA"/>
    <w:rsid w:val="00591D04"/>
    <w:rsid w:val="00593EF7"/>
    <w:rsid w:val="005D03C4"/>
    <w:rsid w:val="005E19AD"/>
    <w:rsid w:val="00611550"/>
    <w:rsid w:val="00612638"/>
    <w:rsid w:val="00620175"/>
    <w:rsid w:val="00624DB9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D4A87"/>
    <w:rsid w:val="007F61A7"/>
    <w:rsid w:val="00837A12"/>
    <w:rsid w:val="00843103"/>
    <w:rsid w:val="00843E71"/>
    <w:rsid w:val="00851626"/>
    <w:rsid w:val="008655F7"/>
    <w:rsid w:val="008671C7"/>
    <w:rsid w:val="008842D2"/>
    <w:rsid w:val="00887865"/>
    <w:rsid w:val="008979D0"/>
    <w:rsid w:val="008C3406"/>
    <w:rsid w:val="00930256"/>
    <w:rsid w:val="00941CDE"/>
    <w:rsid w:val="009430FD"/>
    <w:rsid w:val="009441FF"/>
    <w:rsid w:val="0096067D"/>
    <w:rsid w:val="0098202A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0072"/>
    <w:rsid w:val="00C35911"/>
    <w:rsid w:val="00C43D7A"/>
    <w:rsid w:val="00C46AD2"/>
    <w:rsid w:val="00C76048"/>
    <w:rsid w:val="00CA1E3D"/>
    <w:rsid w:val="00CC25F8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4474B"/>
    <w:rsid w:val="00E54A2B"/>
    <w:rsid w:val="00E6258A"/>
    <w:rsid w:val="00E8636C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3_006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torrecuso.bn.it" TargetMode="External"/><Relationship Id="rId3" Type="http://schemas.openxmlformats.org/officeDocument/2006/relationships/image" Target="media/image3.png"/><Relationship Id="rId7" Type="http://schemas.openxmlformats.org/officeDocument/2006/relationships/image" Target="http://www.comune.melizzano.bn.it/images/melizzan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utc@pec.comune.torrecuso.b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Gerardo</cp:lastModifiedBy>
  <cp:revision>3</cp:revision>
  <cp:lastPrinted>2024-07-12T06:47:00Z</cp:lastPrinted>
  <dcterms:created xsi:type="dcterms:W3CDTF">2026-01-07T14:17:00Z</dcterms:created>
  <dcterms:modified xsi:type="dcterms:W3CDTF">2026-01-07T14:25:00Z</dcterms:modified>
</cp:coreProperties>
</file>